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Surya Pratap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Ph. No.: + 91-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9718515392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sur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ya.97185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CAREER OBJECTIVE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work in a challenging professional environment where I can convert my theoretical knowledge with Practical experience as to make a meaningful contribution to the organization which can provide wide range of exposure and sufficient responsibilities to further enhance my skills and knowledge.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EXPERIENCE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working in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VARUN BEVERAGE LTD.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on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off-role, since July 2019.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office address: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C-21, Kherara, Industrial area, Mohan naga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 Ghaziabad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201007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Profile: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Preparation of vouchers and Maintain of Books of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Distribution of cash.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Dealing with Outlet for Cheque/Cash Deposit,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Salary Expected: As per Company norms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AND ACADEMIC QUALIFICATIONS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677"/>
        <w:gridCol w:w="2694"/>
        <w:tblGridChange w:id="0">
          <w:tblGrid>
            <w:gridCol w:w="2122"/>
            <w:gridCol w:w="4677"/>
            <w:gridCol w:w="2694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INSTITUTION/UNIVERSITY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Com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Institute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of Management Education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(Chaudhary Charan Singh University)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June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201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Saraswati vidya mandir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Nehru Nagar, Ghaziabad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(C.B.S.E.)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May, 201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Saraswati vidya mandir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Nehru Nagar, Ghaziabad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(C.B.S.E.)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May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201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LITERACY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on Computer Concepts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VSA Institute (Ghaziabad)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Proficiency in MS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Excel, MS- Word,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Data visualization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QuickBooks,FreshBooks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Spreadsheets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Email communication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STRENGTHS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 in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Confident and Focused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working, goal oriented and strong sense of responsibility.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INFORMATION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           </w:t>
        <w:tab/>
        <w:tab/>
        <w:t xml:space="preserve">:      </w:t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Verdana" w:cs="Verdana" w:eastAsia="Verdana" w:hAnsi="Verdana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Aug.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199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  <w:tab/>
        <w:tab/>
        <w:t xml:space="preserve">:      </w:t>
        <w:tab/>
        <w:t xml:space="preserve">Mr. Ram lakhan Singh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  <w:tab/>
        <w:tab/>
        <w:tab/>
        <w:tab/>
        <w:t xml:space="preserve">:</w:t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D-309B1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Pratap Vihar,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Sector-11, Vijay Nagar,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Ghaziabad, U.P. 201 009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        </w:t>
        <w:tab/>
        <w:tab/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</w:t>
        <w:tab/>
        <w:t xml:space="preserve">Indian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 </w:t>
        <w:tab/>
        <w:tab/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</w:t>
        <w:tab/>
        <w:t xml:space="preserve">Single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Hobbies</w:t>
        <w:tab/>
        <w:tab/>
        <w:t xml:space="preserve">                :      </w:t>
        <w:tab/>
        <w:t xml:space="preserve">Listening to music,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Play video games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Declaration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 hereby declare that above mentioned information is correct and best to my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Surya Pratap Singh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134" w:top="1644" w:left="851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rebuchet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