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4160"/>
        <w:gridCol w:w="2760"/>
        <w:gridCol w:w="680"/>
        <w:gridCol w:w="20"/>
        <w:gridCol w:w="140"/>
        <w:gridCol w:w="60"/>
        <w:gridCol w:w="20"/>
        <w:gridCol w:w="20"/>
        <w:gridCol w:w="60"/>
        <w:gridCol w:w="100"/>
        <w:gridCol w:w="120"/>
      </w:tblGrid>
      <w:tr w:rsidR="00000000" w14:paraId="2CAFB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80" w:type="dxa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67C7C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9999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9999FF"/>
                <w:sz w:val="28"/>
                <w:szCs w:val="28"/>
              </w:rPr>
              <w:t>Indrasish</w:t>
            </w:r>
            <w:proofErr w:type="spellEnd"/>
            <w:r>
              <w:rPr>
                <w:rFonts w:ascii="Arial" w:hAnsi="Arial" w:cs="Arial"/>
                <w:color w:val="9999FF"/>
                <w:sz w:val="28"/>
                <w:szCs w:val="28"/>
              </w:rPr>
              <w:t xml:space="preserve"> Kundu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9C158" w14:textId="39AACF3F" w:rsidR="00DE14BB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9999FF"/>
                <w:sz w:val="28"/>
                <w:szCs w:val="28"/>
              </w:rPr>
            </w:pPr>
            <w:r>
              <w:rPr>
                <w:rFonts w:ascii="Arial" w:hAnsi="Arial" w:cs="Arial"/>
                <w:color w:val="9999FF"/>
                <w:sz w:val="28"/>
                <w:szCs w:val="28"/>
              </w:rPr>
              <w:t>Global Business Services</w:t>
            </w:r>
          </w:p>
          <w:p w14:paraId="2A2E3351" w14:textId="77777777" w:rsidR="00DE14BB" w:rsidRPr="00FE2E9F" w:rsidRDefault="00DE14BB" w:rsidP="00D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9999FF"/>
                <w:sz w:val="24"/>
                <w:szCs w:val="24"/>
              </w:rPr>
            </w:pPr>
            <w:r w:rsidRPr="00FE2E9F">
              <w:rPr>
                <w:rFonts w:ascii="Arial" w:hAnsi="Arial" w:cs="Arial"/>
                <w:bCs/>
                <w:color w:val="9999FF"/>
                <w:sz w:val="24"/>
                <w:szCs w:val="24"/>
              </w:rPr>
              <w:t xml:space="preserve">Email: </w:t>
            </w:r>
            <w:hyperlink r:id="rId6" w:history="1">
              <w:r w:rsidRPr="00FE2E9F">
                <w:rPr>
                  <w:rFonts w:ascii="Arial" w:hAnsi="Arial" w:cs="Arial"/>
                  <w:bCs/>
                  <w:color w:val="9999FF"/>
                </w:rPr>
                <w:t>kundu.indrasish@gmail.com</w:t>
              </w:r>
            </w:hyperlink>
          </w:p>
          <w:p w14:paraId="6A327497" w14:textId="497370B5" w:rsidR="00DE14BB" w:rsidRDefault="00DE14BB" w:rsidP="00DE14B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9999FF"/>
                <w:sz w:val="28"/>
                <w:szCs w:val="28"/>
              </w:rPr>
            </w:pPr>
            <w:r w:rsidRPr="00FE2E9F">
              <w:rPr>
                <w:rFonts w:ascii="Arial" w:hAnsi="Arial" w:cs="Arial"/>
                <w:bCs/>
                <w:color w:val="9999FF"/>
                <w:sz w:val="24"/>
                <w:szCs w:val="24"/>
              </w:rPr>
              <w:t>Contact #: +91-9433288587</w:t>
            </w:r>
          </w:p>
        </w:tc>
      </w:tr>
      <w:tr w:rsidR="00000000" w14:paraId="0C154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80" w:type="dxa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2E149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9A901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 w14:paraId="4F5B9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</w:trPr>
        <w:tc>
          <w:tcPr>
            <w:tcW w:w="10360" w:type="dxa"/>
            <w:gridSpan w:val="10"/>
            <w:tcBorders>
              <w:top w:val="nil"/>
              <w:left w:val="nil"/>
              <w:bottom w:val="single" w:sz="16" w:space="0" w:color="9999FF"/>
              <w:right w:val="nil"/>
            </w:tcBorders>
          </w:tcPr>
          <w:p w14:paraId="28127905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  <w:t>Education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7B96B70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</w:pPr>
          </w:p>
        </w:tc>
      </w:tr>
      <w:tr w:rsidR="00000000" w14:paraId="5DA2D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6E92E2C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Qualifications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0"/>
            </w:tblGrid>
            <w:tr w:rsidR="00000000" w14:paraId="34EBF66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40" w:type="dxa"/>
                </w:tcPr>
                <w:p w14:paraId="3A9D0595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B.Tech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 Electronics And Communication</w:t>
                  </w:r>
                </w:p>
              </w:tc>
            </w:tr>
            <w:tr w:rsidR="00000000" w14:paraId="1609AE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40" w:type="dxa"/>
                </w:tcPr>
                <w:p w14:paraId="5B59908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Sikkim Manipal Institute Of Technology, India, 2008</w:t>
                  </w:r>
                </w:p>
              </w:tc>
            </w:tr>
            <w:tr w:rsidR="00000000" w14:paraId="6FF557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40" w:type="dxa"/>
                </w:tcPr>
                <w:p w14:paraId="0C673F55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1B5544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5956D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22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BFF9E84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0"/>
              <w:gridCol w:w="3460"/>
            </w:tblGrid>
            <w:tr w:rsidR="00000000" w14:paraId="4AD6A3D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60" w:type="dxa"/>
                </w:tcPr>
                <w:p w14:paraId="28710971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460" w:type="dxa"/>
                </w:tcPr>
                <w:p w14:paraId="1384059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Fluent</w:t>
                  </w:r>
                </w:p>
              </w:tc>
            </w:tr>
            <w:tr w:rsidR="00000000" w14:paraId="5F7CFFE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60" w:type="dxa"/>
                </w:tcPr>
                <w:p w14:paraId="2758DF07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Hindi</w:t>
                  </w:r>
                </w:p>
              </w:tc>
              <w:tc>
                <w:tcPr>
                  <w:tcW w:w="3460" w:type="dxa"/>
                </w:tcPr>
                <w:p w14:paraId="1770DA8D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Good</w:t>
                  </w:r>
                </w:p>
              </w:tc>
            </w:tr>
            <w:tr w:rsidR="00000000" w14:paraId="1E42B2A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460" w:type="dxa"/>
                </w:tcPr>
                <w:p w14:paraId="59713E77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Bengali</w:t>
                  </w:r>
                </w:p>
              </w:tc>
              <w:tc>
                <w:tcPr>
                  <w:tcW w:w="3460" w:type="dxa"/>
                </w:tcPr>
                <w:p w14:paraId="6876525D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Good</w:t>
                  </w:r>
                </w:p>
              </w:tc>
            </w:tr>
          </w:tbl>
          <w:p w14:paraId="7FCC3D41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1A335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20" w:type="dxa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16" w:space="0" w:color="9999FF"/>
              <w:right w:val="nil"/>
            </w:tcBorders>
          </w:tcPr>
          <w:p w14:paraId="7318D1BE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400" w:after="0" w:line="240" w:lineRule="auto"/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  <w:t>Professional experience</w:t>
            </w:r>
          </w:p>
        </w:tc>
      </w:tr>
      <w:tr w:rsidR="00000000" w14:paraId="177BF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FCEBD70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4642C2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competent professional in advanced analytics and data engineering.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Indrasish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extensive experience in planning, budgeting and forecasting solution and creating visualization dashboards. A keen planner with success in end-to-end delivery and ensuring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ffective usage of resources to meet project specifications. Deft in Agile and waterfall software development models.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Indrasish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6 years of USA onsite customer facing work experience, few weeks of Poland onsite customer facing work experience and three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onths of UAE onsite customer facing experience.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Indrasish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had been involved in various requirement gathering discussions with client and implementation of solutions.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Indrasish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IBM Certified resource in Cognos TM1, BI and Enterprise Planning. In IBM,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rasish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extensively worked on various planning and budgeting and other data warehouse implementations and support.</w:t>
            </w:r>
          </w:p>
        </w:tc>
      </w:tr>
      <w:tr w:rsidR="00000000" w14:paraId="2E3F4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A531FBE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Skills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F56563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Knowledge Areas: Advanced Analytics, Data Warehouse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 Key Technology Areas: Tableau, Power BI, Cognos TM1, Cognos Enterprise Planning, COGNOS Analytics, SAP BODS, Python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Skill Expertise Levels: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1. Analytics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Expert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Tableau, Power BI - Expert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 Cognos TM1 - Thought Leader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 Cognos Enterprise Planning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Thought Leader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5. Cognos Business Intelligence Reporting Tools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Expert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6. SAP BODS - Expert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7.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BluePrism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Foundation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Certifications: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1. IBM Certified Administrator - Cognos 10 BI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IBM Certified Designer - Cognos 10 BI Reports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 IBM Certified Develo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 - Cognos 10 BI Metadata Models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 IBM Certified Developer-Cognos TM1 10.1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5. IBM Certified Administrator - Cognos TM1 10.1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6. IBM Certified Specialist - Cognos TM1 10.1 Data Analysis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7. IBM Certified Solution Designer - Cognos 8_10 Planning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8. IBM Cert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ified Solution Expert - Cognos 8 Planning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000000" w14:paraId="5ABF4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C38C122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Courses and Training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561DBA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Python for Data Science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BluePrism</w:t>
            </w:r>
            <w:proofErr w:type="spellEnd"/>
          </w:p>
        </w:tc>
      </w:tr>
      <w:tr w:rsidR="00000000" w14:paraId="5B36A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688E622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F196E4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 w14:paraId="10F29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A027508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Career History</w:t>
            </w: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0"/>
            </w:tblGrid>
            <w:tr w:rsidR="00000000" w14:paraId="27EC3F5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40" w:type="dxa"/>
                </w:tcPr>
                <w:p w14:paraId="2B50A5A6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10/2008 - To date</w:t>
                  </w:r>
                </w:p>
                <w:p w14:paraId="4FEFA0CE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IBM India Pvt Ltd, India</w:t>
                  </w:r>
                </w:p>
                <w:p w14:paraId="36F8CDF6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Data Engineer</w:t>
                  </w:r>
                </w:p>
                <w:p w14:paraId="02022904" w14:textId="4030E1F0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Advanced Analytics with various </w:t>
                  </w:r>
                  <w:r w:rsidR="00DE14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modelling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provide complete decision support solution. Extensively worked on client solution proposal, decision support solution, requirement analysis, design.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Tableau and Power BI report visualization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SAP BODS ETL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Python language scripting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BluePrism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automation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Cognos TM1 planning, budgeting and forecasting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Cognos BI reporting and metadata building.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Administration to TM1 and Cognos BI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Helped project management on project performance management and metrics 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ith analytic techniques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Technical lead for planning/budgeting/forecasting applications on TM1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Technical lead for creating visualization on Tableau and Power BI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Technical lead for creating SAP BODS jobs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Cognos Report Developer and create Cognos BI 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odels and cubes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BluePrism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automation and Python scripting developer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Achievements: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1. Tableau and Power BI implementation.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2. Enterprise level analytics platform support and client interfacing with analytics solution (Cognos , TM1) with complex data arch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itecture including cubes, Oracle, SQL server and DB2 data sources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3. SAP BODS implementation.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4.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Indrasish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led teams in upgrading Cognos TM1 and Cognos Enterprise Planning applications.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5.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Indrasish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led team at integrating TM1 with Cognos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6. Designed and 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eveloped Planning and Budgeting applications.</w:t>
                  </w:r>
                </w:p>
              </w:tc>
            </w:tr>
          </w:tbl>
          <w:p w14:paraId="2D46D1FD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3979E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5C4B1D7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E7677D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 w14:paraId="244C1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57FEA6C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50DD71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 w14:paraId="2F526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0" w:type="dxa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64E5E61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Assignment History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60"/>
            </w:tblGrid>
            <w:tr w:rsidR="00000000" w14:paraId="118521F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57877F7C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10/2019 - To date</w:t>
                  </w:r>
                </w:p>
                <w:p w14:paraId="0432A67F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months</w:t>
                  </w:r>
                </w:p>
                <w:p w14:paraId="2629FF9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Etihad Airways</w:t>
                  </w:r>
                </w:p>
                <w:p w14:paraId="343E6F0A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Visual/Report lead</w:t>
                  </w:r>
                </w:p>
                <w:p w14:paraId="5A3694C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 and implement various KPI visuals on Power BI for Etihad Finance.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Assist client at performing UAT from onshore(Abu Dhabi UAE)</w:t>
                  </w:r>
                </w:p>
                <w:p w14:paraId="7AF7187E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7473976D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Achieved Go-Live on four project phases in Power BI visualization.</w:t>
                  </w:r>
                </w:p>
              </w:tc>
            </w:tr>
            <w:tr w:rsidR="00000000" w14:paraId="180EFEB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3B74D3D4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08/2018 - 09/2019</w:t>
                  </w:r>
                </w:p>
                <w:p w14:paraId="0BEF305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months</w:t>
                  </w:r>
                </w:p>
                <w:p w14:paraId="721EB958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</w:t>
                  </w:r>
                </w:p>
                <w:p w14:paraId="1FB95E34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Data Engineer</w:t>
                  </w:r>
                </w:p>
                <w:p w14:paraId="255FC6D6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Implement different data analytics project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Assist client at performing UAT from onshore(Krakow Poland).</w:t>
                  </w:r>
                </w:p>
                <w:p w14:paraId="665BC054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68EE466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Successfully implement Tableau visualization project.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SAP BODS developer.</w:t>
                  </w:r>
                </w:p>
              </w:tc>
            </w:tr>
            <w:tr w:rsidR="00000000" w14:paraId="20BD8CB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124E4F2E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12/2017 -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07/2018</w:t>
                  </w:r>
                </w:p>
                <w:p w14:paraId="614060FD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months</w:t>
                  </w:r>
                </w:p>
                <w:p w14:paraId="7DD5BC79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AT&amp;T-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DirecTv</w:t>
                  </w:r>
                  <w:proofErr w:type="spellEnd"/>
                </w:p>
                <w:p w14:paraId="0BAC63BF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TM1 Consultant</w:t>
                  </w:r>
                </w:p>
                <w:p w14:paraId="6F7B5E8A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lastRenderedPageBreak/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Perform project enhancements and create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with TM1.</w:t>
                  </w:r>
                </w:p>
                <w:p w14:paraId="6AE6D14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33F6DE5E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Created different enhancements on existing TM1 application.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- Created different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PoCs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with TM1 across differ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ent BUs of AT&amp;T on using TM1 as standard planning and budgeting application.</w:t>
                  </w:r>
                </w:p>
              </w:tc>
            </w:tr>
            <w:tr w:rsidR="00000000" w14:paraId="7A1591C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22CB6C9F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11/2014 - 02/2016</w:t>
                  </w:r>
                </w:p>
                <w:p w14:paraId="7112CF1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months</w:t>
                  </w:r>
                </w:p>
                <w:p w14:paraId="799EF865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NiSource</w:t>
                  </w:r>
                </w:p>
                <w:p w14:paraId="62AC3B7E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TM1 Administrator</w:t>
                  </w:r>
                </w:p>
                <w:p w14:paraId="047333E8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Indrasish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worked in this account on a stretch basis as a TM1 Admin consultant.</w:t>
                  </w:r>
                </w:p>
                <w:p w14:paraId="529B0AA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20F53596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Integrated TM1 application with Cognos.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Upgraded TM1 application from 10.1 to 10.2.2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Documented methods to designing application security.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Docu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mented steps at migrating objects to production.</w:t>
                  </w:r>
                </w:p>
              </w:tc>
            </w:tr>
            <w:tr w:rsidR="00000000" w14:paraId="0CFF791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288795A1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05/2014 - 11/2017</w:t>
                  </w:r>
                </w:p>
                <w:p w14:paraId="74841CD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 months</w:t>
                  </w:r>
                </w:p>
                <w:p w14:paraId="0B52B49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Diageo NA</w:t>
                  </w:r>
                </w:p>
                <w:p w14:paraId="7EE74BC9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TM1 Consultant</w:t>
                  </w:r>
                </w:p>
                <w:p w14:paraId="0A53680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 was an AMS project where we have to support and perform new enhancements and gather business requirements for new development pro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jects.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Here we were also responsible for performing TM1 administrative tasks like user maintenance, log reports, etc.</w:t>
                  </w:r>
                </w:p>
                <w:p w14:paraId="3CCB1196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556E8C0C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Successfully resolved incidents and closed service request tasks.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Worked on business enhancement requests li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ke creating new TI process, Cube rules also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also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create new attributes, dimensions, cubes and so on.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Upgraded TM1 application from 9.5.2 to 10.2.2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- Created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on migrating TM1 in house applications to Planning Analytics(IBM TM1 on Cloud).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000000" w14:paraId="050F0B0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3FD3FFFA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02/2013 - 0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4/2014</w:t>
                  </w:r>
                </w:p>
                <w:p w14:paraId="430FF74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months</w:t>
                  </w:r>
                </w:p>
                <w:p w14:paraId="568D65DC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H.J.Heinz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NA</w:t>
                  </w:r>
                </w:p>
                <w:p w14:paraId="09897C5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Cognos Administrator</w:t>
                  </w:r>
                </w:p>
                <w:p w14:paraId="7A730FA1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It was an AMS project where we have to support and perform new enhancements on Cognos BI.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Daily support activities used to monitor all batch jobs run successfully, activating and deac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tivating users from Cognos, perform year end and month end activity on Cognos, update supplier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fore cast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report/jobs weekly, update/run audit reports to assist Heinz IT managers with Cognos usage and resolve business user issue with Cognos if any.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14:paraId="2B2B9C6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Positi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431B300C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Built new reports, updating existing reports with new features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With Heinz calendar change, updated transformer models, reports and framework manager packages.</w:t>
                  </w:r>
                </w:p>
              </w:tc>
            </w:tr>
            <w:tr w:rsidR="00000000" w14:paraId="1484A3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2D272778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04/2010 - 12/2012</w:t>
                  </w:r>
                </w:p>
                <w:p w14:paraId="52220035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 months</w:t>
                  </w:r>
                </w:p>
                <w:p w14:paraId="7D6ED461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ServiceMaster Inc</w:t>
                  </w:r>
                </w:p>
                <w:p w14:paraId="1FD6995B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Cognos Lead</w:t>
                  </w:r>
                </w:p>
                <w:p w14:paraId="06C60550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Application development and maintenance of Cognos BI, EP and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Data Manager appl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ications in ServiceMaster AMS project.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Application development of Cognos BI models and framework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modeling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and reporting in Service Master.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Development and Maintenance of Service Master Cognos EP applications. Upgrading Cognos EP 7.3 applicati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ons to 8.4.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Design Document, Building models, Preparing Test Cases, UAT, Preparing Design documents, Support.</w:t>
                  </w:r>
                </w:p>
                <w:p w14:paraId="75C68BF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5CF3EAD4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ETL and Cognos BI and Cognos Planning onsite coordinator.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Updated Cognos BI Framework Manager models. performed rep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ort enhancement.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Supported Cognos BI, EP and Data manager ETL applications.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Led a team on migrating Cognos EP 7.3 applications to Cognos EP 8.4.</w:t>
                  </w:r>
                </w:p>
              </w:tc>
            </w:tr>
            <w:tr w:rsidR="00000000" w14:paraId="0932A43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</w:tcPr>
                <w:p w14:paraId="3F71FF5A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12/2008 - 02/2010</w:t>
                  </w:r>
                </w:p>
                <w:p w14:paraId="135DF08C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months</w:t>
                  </w:r>
                </w:p>
                <w:p w14:paraId="15E1DDF7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Bharti Airtel Pvt Ltd</w:t>
                  </w:r>
                </w:p>
                <w:p w14:paraId="150CFB90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Cognos EP Developer</w:t>
                  </w:r>
                </w:p>
                <w:p w14:paraId="2E1B8AF2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Project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 and deve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lop Cognos Enterprise Planning applications.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Prepare Test Cases, UAT, design support documents.</w:t>
                  </w:r>
                </w:p>
                <w:p w14:paraId="71AE3243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Position: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14:paraId="42CB3810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 xml:space="preserve">Contribution: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Developed Airtel Active and Airtel Real Estate planning and budgeting applications.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- Integrated the planning application with data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base in order to bring in actual data into the planning system from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tables rather than using staging cubes.</w:t>
                  </w:r>
                </w:p>
              </w:tc>
            </w:tr>
          </w:tbl>
          <w:p w14:paraId="76D39D9C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0000" w14:paraId="74755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520" w:type="dxa"/>
        </w:trPr>
        <w:tc>
          <w:tcPr>
            <w:tcW w:w="10040" w:type="dxa"/>
            <w:gridSpan w:val="4"/>
            <w:tcBorders>
              <w:top w:val="nil"/>
              <w:left w:val="nil"/>
              <w:bottom w:val="single" w:sz="16" w:space="0" w:color="9999FF"/>
              <w:right w:val="nil"/>
            </w:tcBorders>
          </w:tcPr>
          <w:p w14:paraId="075E4C01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  <w:lastRenderedPageBreak/>
              <w:t>Other relevant information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9684E6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b/>
                <w:bCs/>
                <w:color w:val="9999FF"/>
                <w:sz w:val="24"/>
                <w:szCs w:val="24"/>
              </w:rPr>
            </w:pPr>
          </w:p>
        </w:tc>
      </w:tr>
      <w:tr w:rsidR="00000000" w14:paraId="1FD9B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3A8F1B4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job-related activities</w:t>
            </w:r>
          </w:p>
        </w:tc>
        <w:tc>
          <w:tcPr>
            <w:tcW w:w="81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0"/>
            </w:tblGrid>
            <w:tr w:rsidR="00000000" w14:paraId="1E42DD2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40" w:type="dxa"/>
                </w:tcPr>
                <w:p w14:paraId="134D79B5" w14:textId="77777777" w:rsidR="00000000" w:rsidRDefault="000C7EC8">
                  <w:pPr>
                    <w:widowControl w:val="0"/>
                    <w:autoSpaceDE w:val="0"/>
                    <w:autoSpaceDN w:val="0"/>
                    <w:adjustRightInd w:val="0"/>
                    <w:spacing w:before="200"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Indrasish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achieved IBM Bravo Award for his outstanding effort in Cognos EP migration project at ServiceMaster.</w:t>
                  </w:r>
                </w:p>
              </w:tc>
            </w:tr>
          </w:tbl>
          <w:p w14:paraId="062A4D07" w14:textId="77777777" w:rsidR="00000000" w:rsidRDefault="000C7EC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B5A552" w14:textId="77777777" w:rsidR="000C7EC8" w:rsidRDefault="000C7EC8">
      <w:bookmarkStart w:id="1" w:name="end"/>
      <w:bookmarkStart w:id="2" w:name="pageNumberCitation1"/>
      <w:bookmarkEnd w:id="1"/>
      <w:bookmarkEnd w:id="2"/>
    </w:p>
    <w:sectPr w:rsidR="000C7EC8">
      <w:headerReference w:type="default" r:id="rId7"/>
      <w:footerReference w:type="default" r:id="rId8"/>
      <w:pgSz w:w="11960" w:h="16900"/>
      <w:pgMar w:top="1900" w:right="560" w:bottom="920" w:left="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5C96" w14:textId="77777777" w:rsidR="000C7EC8" w:rsidRDefault="000C7EC8">
      <w:pPr>
        <w:spacing w:after="0" w:line="240" w:lineRule="auto"/>
      </w:pPr>
      <w:r>
        <w:separator/>
      </w:r>
    </w:p>
  </w:endnote>
  <w:endnote w:type="continuationSeparator" w:id="0">
    <w:p w14:paraId="525BC7D3" w14:textId="77777777" w:rsidR="000C7EC8" w:rsidRDefault="000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1662" w14:textId="69143CD8" w:rsidR="00000000" w:rsidRDefault="000C7E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Page </w:t>
    </w:r>
    <w:r>
      <w:rPr>
        <w:rFonts w:ascii="Arial" w:hAnsi="Arial" w:cs="Arial"/>
        <w:color w:val="000000"/>
        <w:sz w:val="20"/>
        <w:szCs w:val="20"/>
      </w:rPr>
      <w:pgNum/>
    </w:r>
    <w:r>
      <w:rPr>
        <w:rFonts w:ascii="Arial" w:hAnsi="Arial" w:cs="Arial"/>
        <w:color w:val="000000"/>
        <w:sz w:val="20"/>
        <w:szCs w:val="20"/>
      </w:rPr>
      <w:t xml:space="preserve"> of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 PAGEREF "pageNumberCitation1" 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DE14BB">
      <w:rPr>
        <w:rFonts w:ascii="Arial" w:hAnsi="Arial" w:cs="Arial"/>
        <w:noProof/>
        <w:color w:val="000000"/>
        <w:sz w:val="20"/>
        <w:szCs w:val="20"/>
      </w:rPr>
      <w:t>4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8489" w14:textId="77777777" w:rsidR="000C7EC8" w:rsidRDefault="000C7EC8">
      <w:pPr>
        <w:spacing w:after="0" w:line="240" w:lineRule="auto"/>
      </w:pPr>
      <w:r>
        <w:separator/>
      </w:r>
    </w:p>
  </w:footnote>
  <w:footnote w:type="continuationSeparator" w:id="0">
    <w:p w14:paraId="346757A1" w14:textId="77777777" w:rsidR="000C7EC8" w:rsidRDefault="000C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67C9" w14:textId="42693D8E" w:rsidR="00000000" w:rsidRDefault="00350815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346DFDD8" wp14:editId="649EFD53">
          <wp:extent cx="1079500" cy="55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40"/>
    </w:tblGrid>
    <w:tr w:rsidR="00000000" w14:paraId="1E2B031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40" w:type="dxa"/>
          <w:tcBorders>
            <w:top w:val="nil"/>
            <w:left w:val="nil"/>
            <w:bottom w:val="single" w:sz="16" w:space="0" w:color="9999FF"/>
            <w:right w:val="nil"/>
          </w:tcBorders>
        </w:tcPr>
        <w:p w14:paraId="3F1B8786" w14:textId="77777777" w:rsidR="00000000" w:rsidRDefault="000C7EC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15"/>
    <w:rsid w:val="000C7EC8"/>
    <w:rsid w:val="00350815"/>
    <w:rsid w:val="00D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31FA0"/>
  <w14:defaultImageDpi w14:val="0"/>
  <w15:docId w15:val="{47C0B063-62D1-4D80-817A-CA28835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15"/>
  </w:style>
  <w:style w:type="paragraph" w:styleId="Footer">
    <w:name w:val="footer"/>
    <w:basedOn w:val="Normal"/>
    <w:link w:val="FooterChar"/>
    <w:uiPriority w:val="99"/>
    <w:unhideWhenUsed/>
    <w:rsid w:val="00350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du.indrasis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INDRASISH KUNDU</dc:creator>
  <cp:keywords/>
  <dc:description/>
  <cp:lastModifiedBy>INDRASISH KUNDU</cp:lastModifiedBy>
  <cp:revision>3</cp:revision>
  <dcterms:created xsi:type="dcterms:W3CDTF">2020-09-21T14:32:00Z</dcterms:created>
  <dcterms:modified xsi:type="dcterms:W3CDTF">2020-09-21T14:36:00Z</dcterms:modified>
</cp:coreProperties>
</file>